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420" w:right="0" w:firstLine="0" w:firstLineChars="0"/>
      </w:pPr>
      <w:r>
        <w:rPr>
          <w:rFonts w:hint="eastAsia" w:ascii="Calibri" w:hAnsi="Calibri" w:eastAsia="宋体" w:cs="宋体"/>
        </w:rPr>
        <w:t>我校</w:t>
      </w:r>
      <w:r>
        <w:rPr>
          <w:rFonts w:hint="eastAsia" w:ascii="Calibri" w:hAnsi="Calibri" w:eastAsia="宋体" w:cs="宋体"/>
          <w:lang w:val="en-US"/>
        </w:rPr>
        <w:t>2017</w:t>
      </w:r>
      <w:r>
        <w:rPr>
          <w:rFonts w:hint="eastAsia" w:ascii="Calibri" w:hAnsi="Calibri" w:eastAsia="宋体" w:cs="宋体"/>
        </w:rPr>
        <w:t>年度共接收安置军转干部</w:t>
      </w:r>
      <w:r>
        <w:rPr>
          <w:rFonts w:hint="eastAsia" w:ascii="Calibri" w:hAnsi="Calibri" w:eastAsia="宋体" w:cs="宋体"/>
          <w:lang w:val="en-US"/>
        </w:rPr>
        <w:t>3</w:t>
      </w:r>
      <w:r>
        <w:rPr>
          <w:rFonts w:hint="eastAsia" w:ascii="Calibri" w:hAnsi="Calibri" w:eastAsia="宋体" w:cs="宋体"/>
        </w:rPr>
        <w:t>人，共投放</w:t>
      </w:r>
      <w:r>
        <w:rPr>
          <w:rFonts w:hint="eastAsia" w:ascii="Calibri" w:hAnsi="Calibri" w:eastAsia="宋体" w:cs="宋体"/>
          <w:lang w:val="en-US"/>
        </w:rPr>
        <w:t>3</w:t>
      </w:r>
      <w:r>
        <w:rPr>
          <w:rFonts w:hint="eastAsia" w:ascii="Calibri" w:hAnsi="Calibri" w:eastAsia="宋体" w:cs="宋体"/>
        </w:rPr>
        <w:t>个岗位，信息如下：（岗位要求请在系统中查看）</w:t>
      </w:r>
    </w:p>
    <w:tbl>
      <w:tblPr>
        <w:tblW w:w="7863" w:type="dxa"/>
        <w:jc w:val="center"/>
        <w:tblInd w:w="222" w:type="dxa"/>
        <w:tblBorders>
          <w:top w:val="single" w:color="C4C2C4" w:sz="6" w:space="0"/>
          <w:left w:val="single" w:color="C4C2C4" w:sz="6" w:space="0"/>
          <w:bottom w:val="single" w:color="C4C2C4" w:sz="6" w:space="0"/>
          <w:right w:val="single" w:color="C4C2C4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162"/>
        <w:gridCol w:w="1300"/>
        <w:gridCol w:w="1275"/>
        <w:gridCol w:w="931"/>
        <w:gridCol w:w="1218"/>
        <w:gridCol w:w="641"/>
        <w:gridCol w:w="891"/>
      </w:tblGrid>
      <w:tr>
        <w:tblPrEx>
          <w:tblBorders>
            <w:top w:val="single" w:color="C4C2C4" w:sz="6" w:space="0"/>
            <w:left w:val="single" w:color="C4C2C4" w:sz="6" w:space="0"/>
            <w:bottom w:val="single" w:color="C4C2C4" w:sz="6" w:space="0"/>
            <w:right w:val="single" w:color="C4C2C4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788" w:hRule="atLeast"/>
          <w:jc w:val="center"/>
        </w:trPr>
        <w:tc>
          <w:tcPr>
            <w:tcW w:w="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 HYPERLINK "http://www.bfa.edu.cn/gljg/2017-07/29/javascript:__doPostBack('UCdg1$dgUC$ctl02$ctl00','')" </w:instrTex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  <w:u w:val="none"/>
                <w:bdr w:val="none" w:color="auto" w:sz="0" w:space="0"/>
                <w:lang w:val="en-US"/>
              </w:rPr>
              <w:t>序号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 HYPERLINK "http://www.bfa.edu.cn/gljg/2017-07/29/javascript:__doPostBack('UCdg1$dgUC$ctl02$ctl01','')" </w:instrTex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  <w:u w:val="none"/>
                <w:bdr w:val="none" w:color="auto" w:sz="0" w:space="0"/>
                <w:lang w:val="en-US"/>
              </w:rPr>
              <w:t>单位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 HYPERLINK "http://www.bfa.edu.cn/gljg/2017-07/29/javascript:__doPostBack('UCdg1$dgUC$ctl02$ctl02','')" </w:instrTex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  <w:u w:val="none"/>
                <w:bdr w:val="none" w:color="auto" w:sz="0" w:space="0"/>
                <w:lang w:val="en-US"/>
              </w:rPr>
              <w:t>接收部门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 HYPERLINK "http://www.bfa.edu.cn/gljg/2017-07/29/javascript:__doPostBack('UCdg1$dgUC$ctl02$ctl03','')" </w:instrTex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  <w:u w:val="none"/>
                <w:bdr w:val="none" w:color="auto" w:sz="0" w:space="0"/>
                <w:lang w:val="en-US"/>
              </w:rPr>
              <w:t>岗位编号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 HYPERLINK "http://www.bfa.edu.cn/gljg/2017-07/29/javascript:__doPostBack('UCdg1$dgUC$ctl02$ctl04','')" </w:instrTex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  <w:u w:val="none"/>
                <w:bdr w:val="none" w:color="auto" w:sz="0" w:space="0"/>
                <w:lang w:val="en-US"/>
              </w:rPr>
              <w:t>安置部门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2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 HYPERLINK "http://www.bfa.edu.cn/gljg/2017-07/29/javascript:__doPostBack('UCdg1$dgUC$ctl02$ctl04','')" </w:instrTex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  <w:u w:val="none"/>
                <w:bdr w:val="none" w:color="auto" w:sz="0" w:space="0"/>
                <w:lang w:val="en-US"/>
              </w:rPr>
              <w:t>安置岗位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安置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入围面试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比例</w:t>
            </w:r>
          </w:p>
        </w:tc>
      </w:tr>
      <w:tr>
        <w:tblPrEx>
          <w:tblBorders>
            <w:top w:val="single" w:color="C4C2C4" w:sz="6" w:space="0"/>
            <w:left w:val="single" w:color="C4C2C4" w:sz="6" w:space="0"/>
            <w:bottom w:val="single" w:color="C4C2C4" w:sz="6" w:space="0"/>
            <w:right w:val="single" w:color="C4C2C4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市教委系统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北京电影学院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2018023001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工会</w:t>
            </w:r>
          </w:p>
        </w:tc>
        <w:tc>
          <w:tcPr>
            <w:tcW w:w="12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工会综合管理</w:t>
            </w:r>
          </w:p>
        </w:tc>
        <w:tc>
          <w:tcPr>
            <w:tcW w:w="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1：10</w:t>
            </w:r>
          </w:p>
        </w:tc>
      </w:tr>
      <w:tr>
        <w:tblPrEx>
          <w:tblBorders>
            <w:top w:val="single" w:color="C4C2C4" w:sz="6" w:space="0"/>
            <w:left w:val="single" w:color="C4C2C4" w:sz="6" w:space="0"/>
            <w:bottom w:val="single" w:color="C4C2C4" w:sz="6" w:space="0"/>
            <w:right w:val="single" w:color="C4C2C4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市教委系统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北京电影学院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2018023002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影视实验中心</w:t>
            </w:r>
          </w:p>
        </w:tc>
        <w:tc>
          <w:tcPr>
            <w:tcW w:w="12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多媒体教室管理</w:t>
            </w:r>
          </w:p>
        </w:tc>
        <w:tc>
          <w:tcPr>
            <w:tcW w:w="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1：10</w:t>
            </w:r>
          </w:p>
        </w:tc>
      </w:tr>
      <w:tr>
        <w:tblPrEx>
          <w:tblBorders>
            <w:top w:val="single" w:color="C4C2C4" w:sz="6" w:space="0"/>
            <w:left w:val="single" w:color="C4C2C4" w:sz="6" w:space="0"/>
            <w:bottom w:val="single" w:color="C4C2C4" w:sz="6" w:space="0"/>
            <w:right w:val="single" w:color="C4C2C4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市教委系统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北京电影学院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2018023003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行政处</w:t>
            </w:r>
          </w:p>
        </w:tc>
        <w:tc>
          <w:tcPr>
            <w:tcW w:w="12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节能管理</w:t>
            </w:r>
          </w:p>
        </w:tc>
        <w:tc>
          <w:tcPr>
            <w:tcW w:w="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8"/>
                <w:bdr w:val="none" w:color="auto" w:sz="0" w:space="0"/>
                <w:lang w:val="en-US" w:eastAsia="zh-CN" w:bidi="ar"/>
              </w:rPr>
              <w:t>1：10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C57E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545454"/>
      <w:u w:val="none"/>
    </w:rPr>
  </w:style>
  <w:style w:type="character" w:styleId="5">
    <w:name w:val="Hyperlink"/>
    <w:basedOn w:val="3"/>
    <w:uiPriority w:val="0"/>
    <w:rPr>
      <w:color w:val="54545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2017-07-29T06:41:28Z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